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05:58 МСК · База обновлена: 23.07.2026,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38 лет обратился в ортопедическое отделение стоматологической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задержку пищи между зубами 3.6 и 3.7,</w:t>
      </w:r>
    </w:p>
    <w:p>
      <w:pPr>
        <w:spacing w:after="58"/>
      </w:pPr>
      <w:r>
        <w:rPr>
          <w:b w:val="0"/>
          <w:i w:val="0"/>
        </w:rPr>
        <w:t>* болезненность зуба 3.6 при накусывании.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трех лет назад зуб 3.6 лечен по поводу пульпита, около месяца назад во время приема пищи и при накусывании на зуб появились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</w:t>
      </w:r>
    </w:p>
    <w:p>
      <w:pPr>
        <w:spacing w:after="58"/>
      </w:pPr>
      <w:r>
        <w:rPr>
          <w:b w:val="0"/>
          <w:i w:val="0"/>
        </w:rPr>
        <w:t>Конфигурация лица не изменена. Кожные покровы чистые. Открывание рта свободное, в полном объёме.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на жевательной поверхности зуба 3.6 пломба средних размеров с переходом на дистальную контактную поверхность, реакция на температурные раздражители безболезненная. Слизистая оболочка переходной складки в области корней розовая, умеренно увлажнена. Рот санирован.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нуждаемости в лечении болезней пародонта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люминесцентный метод зуба 3.6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перкуссия зуба 3.6</w:t>
      </w:r>
    </w:p>
    <w:p>
      <w:pPr>
        <w:ind w:left="504"/>
      </w:pPr>
      <w:r>
        <w:rPr>
          <w:b w:val="0"/>
          <w:i/>
        </w:rPr>
        <w:t>В связи с жалобами, данными анамнеза (потерей зубов от подвижности) при осмотре необходимо проводить инструментальное обследование Перкуссия зубов (А02.07.007)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данном клиническом случае пациенту рекомендован вид рентгеновской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телерентгенография (ТРГ) 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черепа в носоподбородочной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При диагностике необходимо учитывать результаты рентгенологического исследования имеющихся зубов, в особенности планируемых под опоры.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диагностики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электроодонтодиагностика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электроодонтодиагностика зуба 3.6</w:t>
      </w:r>
    </w:p>
    <w:p>
      <w:pPr>
        <w:ind w:left="504"/>
      </w:pPr>
      <w:r>
        <w:rPr>
          <w:b w:val="0"/>
          <w:i/>
        </w:rPr>
        <w:t>Клиническая картина периодонтита.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Эксфолиация зубов вследствие системных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стирание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зубов и их опорного аппарата неуточненное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апикальный периодонтит зуба 3.6</w:t>
      </w:r>
    </w:p>
    <w:p>
      <w:pPr>
        <w:ind w:left="504"/>
      </w:pPr>
      <w:r>
        <w:rPr>
          <w:b w:val="0"/>
          <w:i/>
        </w:rPr>
        <w:t>Хронические формы периодонтита могут протекать бессимптомно.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Предполагаемым ИРОПЗ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ровно 55,5%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&gt;0,8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&gt;0,4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&gt;0,8</w:t>
      </w:r>
    </w:p>
    <w:p>
      <w:pPr>
        <w:ind w:left="504"/>
      </w:pPr>
      <w:r>
        <w:rPr>
          <w:b w:val="0"/>
          <w:i/>
        </w:rPr>
        <w:t>Методика расчета и применения ИРОПЗ в стоматологии.</w:t>
        <w:br/>
        <w:br/>
        <w:t>Ортопедическая стоматология (несъемное зубное протезирование): учебник /  О. Р. Курбанов, А. И. Абдурахманов, С. И. Абакаров - М. : ГЭОТАР-Медиа, 2015, С. 31-32.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ортопедическом лечении в данном клиническом случае протезирование должно выполнять +_____________+ функцию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логопедическую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замещающую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замещающую</w:t>
      </w:r>
    </w:p>
    <w:p>
      <w:pPr>
        <w:ind w:left="504"/>
      </w:pPr>
      <w:r>
        <w:rPr>
          <w:b w:val="0"/>
          <w:i/>
        </w:rPr>
        <w:t>Методы протезирования позволяют восстановить основную функцию зубочелюстной системы: пережевывание пищи.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Ортопедическая стоматология: Национальное руководство / под ред. И.Ю. Лебеденко, С.Д. Арутюнова, А.Н. Ряховского, 2016, С. 272.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Восстановление зуба 3.6 в данной клинической ситуации целесообразнее провести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изготовления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пломбирования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литой культевой штифтовой вкладки и металлокерамической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изготовления  металлокерамической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литой культевой штифтовой вкладки и металлокерамической коронки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требованию по длине внутрикорневой части литой культевой штифтовой вкладке зуба 3.6 относят +________+ длины корня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4/5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3/4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2/3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подходящим в данном клиническом случае облицовочным материалом для искусственной коронки на зуб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пластмасса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композиционный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никелид титана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керамический материал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керамический материал</w:t>
      </w:r>
    </w:p>
    <w:p>
      <w:pPr>
        <w:ind w:left="504"/>
      </w:pPr>
      <w:r>
        <w:rPr>
          <w:b w:val="0"/>
          <w:i/>
        </w:rPr>
        <w:t>Керамика в стоматологии - очень популярный материал, поскольку позволяет изготавливать зубные протезы, неотличимые по своему виду от естественных зубов.</w:t>
        <w:br/>
        <w:br/>
        <w:t>Ортопедическая стоматология: национальное руководство / под ред. И.Ю. Лебеденко, С.Д. Арутюнова, А.Н. Ряховского. - М. : ГЭОТАР-Медиа, 2016 С.651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Перед протезированием зуба 3.6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пломбирование каналов зуба 3.6 (эндодонтическое перелечивание зуба)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резекцию верхушек корней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гемисекцию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проводниковую анестезию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пломбирование каналов зуба 3.6 (эндодонтическое перелечивание зуба)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 Пломбировать корневой канал можно в том случае, если отсутствуют болевые симптомы, выделение экссудата, чувствительность при перкуссии. Предварительно необходимо изолировать зуб от слюны.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Каковы требования к диетическим назначениям и ограничениям в данном клиническом случае?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 от кариесогенных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отказ от вязкой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использования очень жесткой пищи, требующей пережевывания твердых кусков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специальных требований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специальных требований нет</w:t>
      </w:r>
    </w:p>
    <w:p>
      <w:pPr>
        <w:ind w:left="504"/>
      </w:pPr>
      <w:r>
        <w:rPr>
          <w:b w:val="0"/>
          <w:i/>
        </w:rPr>
        <w:t>7.2.11. Требования к диетическим назначениям и ограничениям</w:t>
        <w:br/>
        <w:t>Специальных требований нет.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Наибольшей вероятностью возможного исхода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нового заболевания, связанного с основным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ятрогенных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компенсация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стабилизация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компенсация функции</w:t>
      </w:r>
    </w:p>
    <w:p>
      <w:pPr>
        <w:ind w:left="504"/>
      </w:pPr>
      <w:r>
        <w:rPr>
          <w:b w:val="0"/>
          <w:i/>
        </w:rPr>
        <w:t>7.2.15. Возможные исходы и их характеристики</w:t>
        <w:br/>
        <w:br/>
        <w:t>Исход: Компенсация функции</w:t>
        <w:br/>
        <w:br/>
        <w:t>Частота развития, %: 60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table_i7i6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table_qjukp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3bt1e" TargetMode="External"/><Relationship Id="rId26" Type="http://schemas.openxmlformats.org/officeDocument/2006/relationships/hyperlink" Target="https://library.mededtech.ru/rest/documents/6_periapikal_8aug2018/#paragraph_j714c" TargetMode="External"/><Relationship Id="rId27" Type="http://schemas.openxmlformats.org/officeDocument/2006/relationships/hyperlink" Target="https://library.mededtech.ru/rest/documents/7_part_absent/" TargetMode="External"/><Relationship Id="rId28" Type="http://schemas.openxmlformats.org/officeDocument/2006/relationships/hyperlink" Target="https://library.mededtech.ru/rest/documents/7_part_absent/#paragraph_rmbrv" TargetMode="External"/><Relationship Id="rId29" Type="http://schemas.openxmlformats.org/officeDocument/2006/relationships/hyperlink" Target="https://library.mededtech.ru/rest/documents/6_periapikal_8aug2018/#table_g57vr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6_periapikal_8aug2018/#list_item_963l2" TargetMode="External"/><Relationship Id="rId32" Type="http://schemas.openxmlformats.org/officeDocument/2006/relationships/hyperlink" Target="https://library.mededtech.ru/rest/documents/6_periapikal_8aug2018/#paragraph_bbs77" TargetMode="External"/><Relationship Id="rId33" Type="http://schemas.openxmlformats.org/officeDocument/2006/relationships/hyperlink" Target="https://library.mededtech.ru/rest/documents/6_periapikal_8aug2018/#7_2_11_&#1090;&#1088;&#1077;&#1073;&#1086;&#1074;&#1072;&#1085;&#1080;&#1103;_&#1082;_&#1076;&#1080;&#1077;&#1090;&#1080;&#1095;&#1077;&#1089;&#1082;&#1080;&#1084;_&#1085;&#1072;&#1079;&#1085;&#1072;&#1095;&#1077;&#1085;&#1080;&#1103;&#1084;_&#1080;_&#1086;&#1075;&#1088;&#1072;&#1085;&#1080;&#1095;&#1077;&#1085;&#1080;&#1103;&#1084;" TargetMode="External"/><Relationship Id="rId34" Type="http://schemas.openxmlformats.org/officeDocument/2006/relationships/hyperlink" Target="https://library.mededtech.ru/rest/documents/6_periapikal_8aug2018/#7_2_15_&#1074;&#1086;&#1079;&#1084;&#1086;&#1078;&#1085;&#1099;&#1077;_&#1080;&#1089;&#1093;&#1086;&#1076;&#1099;_&#1080;_&#1080;&#1093;_&#1093;&#1072;&#1088;&#1072;&#1082;&#1090;&#1077;&#1088;&#1080;&#1089;&#1090;&#1080;&#1082;&#108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